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"/>
      </w:pPr>
      <w:r>
        <w:t>ОФИЦИАЛЬНЫЙ ЭКСПЕРТНЫЙ SEO-ОТЧЕТ НАП (ДЕМОНСТРАЦИОННАЯ ВЕРСИЯ)</w:t>
      </w:r>
    </w:p>
    <w:p>
      <w:pPr>
        <w:pStyle w:val="SubTitle"/>
      </w:pPr>
      <w:r>
        <w:t>Полная структура шаблона с заблокированными разделами конкретики (СДС ПОЛИГРАФСЕРТ НАП)</w:t>
      </w:r>
    </w:p>
    <w:p>
      <w:pPr>
        <w:pStyle w:val="BodyCustom"/>
      </w:pPr>
      <w:r>
        <w:rPr>
          <w:b/>
        </w:rPr>
        <w:t xml:space="preserve">Объект проверки (Сайт): </w:t>
      </w:r>
      <w:r>
        <w:t>https://ipf-vrn.ru/</w:t>
        <w:br/>
      </w:r>
      <w:r>
        <w:rPr>
          <w:b/>
        </w:rPr>
        <w:t xml:space="preserve">Наименование организации: </w:t>
      </w:r>
      <w:r>
        <w:t>АО «Издательско-полиграфическая фирма «Воронеж»» (АО «ИПФ «Воронеж»»)</w:t>
        <w:br/>
      </w:r>
      <w:r>
        <w:rPr>
          <w:b/>
        </w:rPr>
        <w:t xml:space="preserve">Дата проверки: </w:t>
      </w:r>
      <w:r>
        <w:t>1 октября 2026 г.</w:t>
        <w:br/>
      </w:r>
      <w:r>
        <w:rPr>
          <w:b/>
        </w:rPr>
        <w:t xml:space="preserve">Итоговый балл готовности к B2B-продажам: </w:t>
      </w:r>
      <w:r>
        <w:t>34 / 100 (Низкий уровень / Критические потери лидов)</w:t>
        <w:br/>
      </w:r>
      <w:r>
        <w:rPr>
          <w:b/>
        </w:rPr>
        <w:t xml:space="preserve">Статус отчета: </w:t>
      </w:r>
      <w:r>
        <w:t>Демо-шаблон. Конкретные пошаговые тексты заблокированы.</w:t>
      </w:r>
    </w:p>
    <w:p>
      <w:pPr>
        <w:pStyle w:val="Heading1"/>
      </w:pPr>
      <w:r>
        <w:t>1. Сводная Оценка Готовности Сайта к B2B-Продажам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</w:tcPr>
          <w:p>
            <w:r>
              <w:rPr>
                <w:b/>
              </w:rPr>
              <w:t>Критерий проверки</w:t>
            </w:r>
          </w:p>
        </w:tc>
        <w:tc>
          <w:tcPr>
            <w:tcW w:type="dxa" w:w="3118"/>
          </w:tcPr>
          <w:p>
            <w:r>
              <w:rPr>
                <w:b/>
              </w:rPr>
              <w:t>Оценка</w:t>
            </w:r>
          </w:p>
        </w:tc>
        <w:tc>
          <w:tcPr>
            <w:tcW w:type="dxa" w:w="3118"/>
          </w:tcPr>
          <w:p>
            <w:r>
              <w:rPr>
                <w:b/>
              </w:rPr>
              <w:t>Статус в демо-версии</w:t>
            </w:r>
          </w:p>
        </w:tc>
      </w:tr>
      <w:tr>
        <w:tc>
          <w:tcPr>
            <w:tcW w:type="dxa" w:w="3118"/>
          </w:tcPr>
          <w:p>
            <w:r>
              <w:t>1.1. Производственный потенциал и реквизиты</w:t>
            </w:r>
          </w:p>
        </w:tc>
        <w:tc>
          <w:tcPr>
            <w:tcW w:type="dxa" w:w="3118"/>
          </w:tcPr>
          <w:p>
            <w:r>
              <w:t>28 / 30</w:t>
            </w:r>
          </w:p>
        </w:tc>
        <w:tc>
          <w:tcPr>
            <w:tcW w:type="dxa" w:w="3118"/>
          </w:tcPr>
          <w:p>
            <w:r>
              <w:t>✅ Открыто</w:t>
            </w:r>
          </w:p>
        </w:tc>
      </w:tr>
      <w:tr>
        <w:tc>
          <w:tcPr>
            <w:tcW w:type="dxa" w:w="3118"/>
          </w:tcPr>
          <w:p>
            <w:r>
              <w:t>1.2. Структура B2B-страниц и Prepress</w:t>
            </w:r>
          </w:p>
        </w:tc>
        <w:tc>
          <w:tcPr>
            <w:tcW w:type="dxa" w:w="3118"/>
          </w:tcPr>
          <w:p>
            <w:r>
              <w:t>4 / 25</w:t>
            </w:r>
          </w:p>
        </w:tc>
        <w:tc>
          <w:tcPr>
            <w:tcW w:type="dxa" w:w="3118"/>
          </w:tcPr>
          <w:p>
            <w:r>
              <w:t>🔒 Заблокировано (доступно в полной версии)</w:t>
            </w:r>
          </w:p>
        </w:tc>
      </w:tr>
      <w:tr>
        <w:tc>
          <w:tcPr>
            <w:tcW w:type="dxa" w:w="3118"/>
          </w:tcPr>
          <w:p>
            <w:r>
              <w:t>1.3. Техническое SEO и мобильная верстка</w:t>
            </w:r>
          </w:p>
        </w:tc>
        <w:tc>
          <w:tcPr>
            <w:tcW w:type="dxa" w:w="3118"/>
          </w:tcPr>
          <w:p>
            <w:r>
              <w:t>2 / 25</w:t>
            </w:r>
          </w:p>
        </w:tc>
        <w:tc>
          <w:tcPr>
            <w:tcW w:type="dxa" w:w="3118"/>
          </w:tcPr>
          <w:p>
            <w:r>
              <w:t>🔒 Заблокировано (доступно в полной версии)</w:t>
            </w:r>
          </w:p>
        </w:tc>
      </w:tr>
      <w:tr>
        <w:tc>
          <w:tcPr>
            <w:tcW w:type="dxa" w:w="3118"/>
          </w:tcPr>
          <w:p>
            <w:r>
              <w:t>1.4. Индексация маржинальной печати в ЦФО</w:t>
            </w:r>
          </w:p>
        </w:tc>
        <w:tc>
          <w:tcPr>
            <w:tcW w:type="dxa" w:w="3118"/>
          </w:tcPr>
          <w:p>
            <w:r>
              <w:t>0 / 20</w:t>
            </w:r>
          </w:p>
        </w:tc>
        <w:tc>
          <w:tcPr>
            <w:tcW w:type="dxa" w:w="3118"/>
          </w:tcPr>
          <w:p>
            <w:r>
              <w:t>🔒 Заблокировано (доступно в полной версии)</w:t>
            </w:r>
          </w:p>
        </w:tc>
      </w:tr>
    </w:tbl>
    <w:p>
      <w:pPr>
        <w:pStyle w:val="Heading1"/>
      </w:pPr>
      <w:r>
        <w:t>2. Бизнес-Анализ для Руководителя и Коммерческого директора</w:t>
      </w:r>
    </w:p>
    <w:p>
      <w:pPr>
        <w:pStyle w:val="Heading2"/>
      </w:pPr>
      <w:r>
        <w:t>2.1. Сильные стороны и существующие B2B-активы</w:t>
      </w:r>
    </w:p>
    <w:p>
      <w:pPr>
        <w:pStyle w:val="BodyCustom"/>
      </w:pPr>
      <w:r>
        <w:t>Предприятие обладает собственной энергоподстанцией 24/7 и ролевыми линиями с УФ-сушкой.</w:t>
      </w:r>
    </w:p>
    <w:p>
      <w:pPr>
        <w:pStyle w:val="Heading2"/>
      </w:pPr>
      <w:r>
        <w:t>2.2. Конкретные точки упущенных B2B-заказов и расчет финансовых потерь</w:t>
      </w:r>
    </w:p>
    <w:p>
      <w:pPr>
        <w:pStyle w:val="LockedBox"/>
      </w:pPr>
      <w:r>
        <w:t>🔒 [ТЕКСТ РАЗДЕЛА 2.2 ЗАБЛОКИРОВАН]</w:t>
        <w:br/>
        <w:t>Подробный расчет упущенных B2B-контрактов, анализ отказов закупщиков ритейла и рекомендации по конверсии доступны в полной версии отчета.</w:t>
        <w:br/>
        <w:t>Для получения доступа свяжитесь с НАП: Тел: +7 (903) 652-90-14, Email: president@nrap.ru</w:t>
      </w:r>
    </w:p>
    <w:p>
      <w:pPr>
        <w:pStyle w:val="Heading1"/>
      </w:pPr>
      <w:r>
        <w:t>3. Квалифицированное Техническое ТЗ для Программиста</w:t>
      </w:r>
    </w:p>
    <w:p>
      <w:pPr>
        <w:pStyle w:val="Heading2"/>
      </w:pPr>
      <w:r>
        <w:t>3.1. Оптимизация CMS, скорости загрузки и Core Web Vitals (LCP, TTFB)</w:t>
      </w:r>
    </w:p>
    <w:p>
      <w:pPr>
        <w:pStyle w:val="LockedBox"/>
      </w:pPr>
      <w:r>
        <w:t>🔒 [ДИРЕКТИВЫ ТЗ 3.1 ЗАБЛОКИРОВАНЫ]</w:t>
        <w:br/>
        <w:t>Конкретные инструкции по удалению плагинов Unyson/Supsystic, настройке кеширования и сжатия кода доступны в полной версии отчета.</w:t>
      </w:r>
    </w:p>
    <w:p>
      <w:pPr>
        <w:pStyle w:val="Heading2"/>
      </w:pPr>
      <w:r>
        <w:t>3.2. Настройка полиграфической микроразметки Schema.org/PrintShop и SSL</w:t>
      </w:r>
    </w:p>
    <w:p>
      <w:pPr>
        <w:pStyle w:val="LockedBox"/>
      </w:pPr>
      <w:r>
        <w:t>🔒 [ДИРЕКТИВЫ ТЗ 3.2 ЗАБЛОКИРОВАНЫ]</w:t>
        <w:br/>
        <w:t>Готовый JSON-LD код микроразметки и устранение ошибок Mixed Content доступны в полной версии отчета.</w:t>
      </w:r>
    </w:p>
    <w:p>
      <w:pPr>
        <w:pStyle w:val="Heading2"/>
      </w:pPr>
      <w:r>
        <w:t>3.3. Разработка посадочных B2B-страниц с ЧПУ-урлами</w:t>
      </w:r>
    </w:p>
    <w:p>
      <w:pPr>
        <w:pStyle w:val="LockedBox"/>
      </w:pPr>
      <w:r>
        <w:t>🔒 [ДИРЕКТИВЫ ТЗ 3.3 ЗАБЛОКИРОВАНЫ]</w:t>
        <w:br/>
        <w:t>Карта урлов /rolevaya-pechat/, /pechat-gazet/, /pechat-zhurnalov/ доступна в полной версии отчета.</w:t>
      </w:r>
    </w:p>
    <w:p>
      <w:pPr>
        <w:pStyle w:val="Heading1"/>
      </w:pPr>
      <w:r>
        <w:t>4. Анализ Конкурентов в Регионе и Векторы Развития (Только для членов НАП)</w:t>
      </w:r>
    </w:p>
    <w:p>
      <w:pPr>
        <w:pStyle w:val="Heading2"/>
      </w:pPr>
      <w:r>
        <w:t>4.1. Региональный срез рынка ролевой печати в Воронеже и ЦФО</w:t>
      </w:r>
    </w:p>
    <w:p>
      <w:pPr>
        <w:pStyle w:val="LockedBox"/>
      </w:pPr>
      <w:r>
        <w:t>🔒 [АНАЛИТИКА РЫНКA 4.1 ЗАБЛОКИРОВАНА]</w:t>
        <w:br/>
        <w:t>Анализ загрузки типографий конкурентов и дефицитных ниш ЦФО доступен эксклюзивно для членов НАП.</w:t>
      </w:r>
    </w:p>
    <w:p>
      <w:pPr>
        <w:pStyle w:val="Heading2"/>
      </w:pPr>
      <w:r>
        <w:t>4.2. Рекомендации по оборудованию, технологиям и увеличению продаж</w:t>
      </w:r>
    </w:p>
    <w:p>
      <w:pPr>
        <w:pStyle w:val="LockedBox"/>
      </w:pPr>
      <w:r>
        <w:t>🔒 [РЕКОМЕНДАЦИИ ПО ОБОРУДОВАНИЮ 4.2 ЗАБЛОКИРОВАНЫ]</w:t>
        <w:br/>
        <w:t>План внедрения B2B-портала заказов и перехвата тиражей ритейла Москвы доступен в полной версии отчета.</w:t>
      </w:r>
    </w:p>
    <w:p>
      <w:pPr>
        <w:pStyle w:val="Heading1"/>
      </w:pPr>
      <w:r>
        <w:t>5. Инструкция по Разблокировке и Получению Полного Отчета</w:t>
      </w:r>
    </w:p>
    <w:p>
      <w:pPr>
        <w:pStyle w:val="BodyCustom"/>
      </w:pPr>
      <w:r>
        <w:t>Чтобы разблокировать все тексты, получить готовое ТЗ для программиста и аналитику конкурентов, выберите удобный вариант:</w:t>
        <w:br/>
        <w:br/>
      </w:r>
      <w:r>
        <w:rPr>
          <w:b/>
        </w:rPr>
        <w:t xml:space="preserve">1. Вступление в НАП (9 000 руб. / 1-й год, далее 7 000 руб. / год) — </w:t>
      </w:r>
      <w:r>
        <w:t>Полный отчет (18-22 стр.), ИИ-Агент НАП, Спецсчета (дивиденды) и Сертификат СДС — БЕСПЛАТНО.</w:t>
        <w:br/>
      </w:r>
      <w:r>
        <w:rPr>
          <w:b/>
        </w:rPr>
        <w:t xml:space="preserve">2. Разовый отчет (20 000 руб. разово) — </w:t>
      </w:r>
      <w:r>
        <w:t>Оплата по счету на ООО ИК "ЮВИС" (ИНН 3663045097) или картой онлайн.</w:t>
        <w:br/>
        <w:br/>
      </w:r>
      <w:r>
        <w:rPr>
          <w:b/>
        </w:rPr>
        <w:t xml:space="preserve">📞 Прямой телефон президента НАП: </w:t>
      </w:r>
      <w:r>
        <w:t>+7 (903) 652-90-14</w:t>
        <w:br/>
      </w:r>
      <w:r>
        <w:rPr>
          <w:b/>
        </w:rPr>
        <w:t xml:space="preserve">✉️ Email для заявок: </w:t>
      </w:r>
      <w:r>
        <w:t>president@nrap.ru</w:t>
        <w:br/>
      </w:r>
      <w:r>
        <w:rPr>
          <w:b/>
        </w:rPr>
        <w:t xml:space="preserve">🌐 Разблокировка на сайте: </w:t>
      </w:r>
      <w:r>
        <w:t>https://nrap.asistent-aiart.ru/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Национальная Ассоциация полиграфистов — Демо-версия | Разблокировка: +7(903)652-90-14, president@nrap.ru</w:t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СДС ПОЛИГРАФСЕРТ НАП | Демонстрационный Отчет (С замочками)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basedOn w:val="Normal"/>
    <w:rPr>
      <w:rFonts w:ascii="Arial" w:hAnsi="Arial"/>
      <w:b/>
      <w:color w:val="1F4E79"/>
      <w:sz w:val="36"/>
    </w:rPr>
  </w:style>
  <w:style w:type="paragraph" w:customStyle="1" w:styleId="SubTitle">
    <w:name w:val="SubTitle"/>
    <w:basedOn w:val="Normal"/>
    <w:rPr>
      <w:rFonts w:ascii="Arial" w:hAnsi="Arial"/>
      <w:i/>
      <w:color w:val="595959"/>
      <w:sz w:val="22"/>
    </w:rPr>
  </w:style>
  <w:style w:type="paragraph" w:customStyle="1" w:styleId="SectionHeader">
    <w:name w:val="SectionHeader"/>
    <w:basedOn w:val="Normal"/>
    <w:rPr>
      <w:rFonts w:ascii="Arial" w:hAnsi="Arial"/>
      <w:b/>
      <w:color w:val="1F4E79"/>
      <w:sz w:val="26"/>
    </w:rPr>
  </w:style>
  <w:style w:type="paragraph" w:customStyle="1" w:styleId="BodyCustom">
    <w:name w:val="BodyCustom"/>
    <w:basedOn w:val="Normal"/>
    <w:rPr>
      <w:rFonts w:ascii="Arial" w:hAnsi="Arial"/>
      <w:color w:val="262626"/>
      <w:sz w:val="20"/>
    </w:rPr>
  </w:style>
  <w:style w:type="paragraph" w:customStyle="1" w:styleId="LockedBox">
    <w:name w:val="LockedBox"/>
    <w:basedOn w:val="Normal"/>
    <w:rPr>
      <w:rFonts w:ascii="Arial" w:hAnsi="Arial"/>
      <w:i/>
      <w:color w:val="C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